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ny1"/>
        <w:tabs>
          <w:tab w:val="clear" w:pos="708"/>
          <w:tab w:val="left" w:pos="5103" w:leader="none"/>
        </w:tabs>
        <w:ind w:hanging="0" w:left="0"/>
        <w:jc w:val="right"/>
        <w:rPr>
          <w:rFonts w:ascii="Calibri Light" w:hAnsi="Calibri Light"/>
          <w:sz w:val="20"/>
          <w:szCs w:val="20"/>
        </w:rPr>
      </w:pPr>
      <w:r>
        <w:rPr>
          <w:b/>
          <w:bCs/>
          <w:sz w:val="20"/>
          <w:szCs w:val="20"/>
          <w:lang w:eastAsia="pl-PL"/>
        </w:rPr>
        <w:t>Załącznik nr 1 do SWZ</w:t>
      </w:r>
    </w:p>
    <w:p>
      <w:pPr>
        <w:pStyle w:val="Normalny1"/>
        <w:rPr>
          <w:rFonts w:ascii="Calibri Light" w:hAnsi="Calibri Light"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</w:r>
    </w:p>
    <w:p>
      <w:pPr>
        <w:pStyle w:val="Tytu1"/>
        <w:tabs>
          <w:tab w:val="clear" w:pos="708"/>
          <w:tab w:val="left" w:pos="1740" w:leader="none"/>
        </w:tabs>
        <w:spacing w:lineRule="atLeast" w:line="100"/>
        <w:jc w:val="left"/>
        <w:rPr>
          <w:u w:val="none"/>
        </w:rPr>
      </w:pPr>
      <w:r>
        <w:rPr>
          <w:u w:val="none"/>
        </w:rPr>
      </w:r>
    </w:p>
    <w:p>
      <w:pPr>
        <w:pStyle w:val="Normal"/>
        <w:suppressAutoHyphens w:val="false"/>
        <w:spacing w:lineRule="auto" w:line="264" w:before="0" w:after="40"/>
        <w:jc w:val="center"/>
        <w:rPr>
          <w:rFonts w:ascii="Calibri Light" w:hAnsi="Calibri Light"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SPECYFIKACJA TECHNICZNA OFEROWANEGO CIĄGNIKA I OSPRZĘTU</w:t>
      </w:r>
    </w:p>
    <w:p>
      <w:pPr>
        <w:pStyle w:val="Normal"/>
        <w:suppressAutoHyphens w:val="false"/>
        <w:spacing w:lineRule="auto" w:line="264" w:before="0" w:after="40"/>
        <w:jc w:val="center"/>
        <w:rPr>
          <w:rFonts w:ascii="Calibri Light" w:hAnsi="Calibri Light"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(tabela parametrów technicznych)</w:t>
      </w:r>
    </w:p>
    <w:p>
      <w:pPr>
        <w:pStyle w:val="Normal"/>
        <w:suppressAutoHyphens w:val="false"/>
        <w:spacing w:lineRule="auto" w:line="264" w:before="0" w:after="40"/>
        <w:rPr>
          <w:rFonts w:ascii="Calibri Light" w:hAnsi="Calibri Light"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</w:r>
    </w:p>
    <w:p>
      <w:pPr>
        <w:pStyle w:val="Normal"/>
        <w:spacing w:lineRule="auto" w:line="288" w:before="0" w:after="40"/>
        <w:jc w:val="both"/>
        <w:rPr>
          <w:rFonts w:ascii="Calibri Light" w:hAnsi="Calibri Light"/>
          <w:sz w:val="20"/>
          <w:szCs w:val="20"/>
        </w:rPr>
      </w:pPr>
      <w:r>
        <w:rPr>
          <w:rFonts w:cs="Arial"/>
          <w:sz w:val="20"/>
          <w:szCs w:val="20"/>
        </w:rPr>
        <w:t xml:space="preserve">W odpowiedzi na ogłoszenie zamieszczone w Biuletynie Zamówień Publicznych, do składania ofert w trybie podstawowym na podstawie art. 275 pkt 1 ustawy Pzp pn.: </w:t>
      </w:r>
      <w:r>
        <w:rPr>
          <w:rFonts w:cs="Arial"/>
          <w:b/>
          <w:bCs/>
          <w:color w:val="1B1B1B"/>
          <w:sz w:val="20"/>
          <w:szCs w:val="20"/>
        </w:rPr>
        <w:t xml:space="preserve">Dostawa fabrycznie nowego ciągnika rolniczego na potrzeby realizacji zadania pn. „Zakupy w ramach zabezpieczenia logistycznego i zapewnienia ciągłości dostaw” w ramach Programu Ochrony Ludności i Obrony Cywilnej na lata 2025–2026 </w:t>
      </w:r>
      <w:r>
        <w:rPr>
          <w:rFonts w:cs="Arial"/>
          <w:sz w:val="20"/>
          <w:szCs w:val="20"/>
        </w:rPr>
        <w:t>oferuję dostawę ciągnika:</w:t>
      </w:r>
    </w:p>
    <w:tbl>
      <w:tblPr>
        <w:tblStyle w:val="Tabela-Siatka"/>
        <w:tblW w:w="9645" w:type="dxa"/>
        <w:jc w:val="left"/>
        <w:tblInd w:w="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6"/>
        <w:gridCol w:w="4275"/>
        <w:gridCol w:w="1808"/>
        <w:gridCol w:w="3016"/>
      </w:tblGrid>
      <w:tr>
        <w:trPr>
          <w:trHeight w:val="495" w:hRule="atLeast"/>
          <w:cantSplit w:val="true"/>
        </w:trPr>
        <w:tc>
          <w:tcPr>
            <w:tcW w:w="4821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CIĄGNIK</w:t>
            </w:r>
          </w:p>
        </w:tc>
        <w:tc>
          <w:tcPr>
            <w:tcW w:w="4824" w:type="dxa"/>
            <w:gridSpan w:val="2"/>
            <w:tcBorders/>
            <w:vAlign w:val="center"/>
          </w:tcPr>
          <w:p>
            <w:pPr>
              <w:pStyle w:val="Normal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ŁADOWACZ</w:t>
            </w:r>
          </w:p>
        </w:tc>
      </w:tr>
      <w:tr>
        <w:trPr>
          <w:trHeight w:val="495" w:hRule="atLeast"/>
          <w:cantSplit w:val="true"/>
        </w:trPr>
        <w:tc>
          <w:tcPr>
            <w:tcW w:w="4821" w:type="dxa"/>
            <w:gridSpan w:val="2"/>
            <w:tcBorders>
              <w:top w:val="nil"/>
              <w:right w:val="nil"/>
            </w:tcBorders>
            <w:vAlign w:val="bottom"/>
          </w:tcPr>
          <w:p>
            <w:pPr>
              <w:pStyle w:val="Normal"/>
              <w:jc w:val="left"/>
              <w:rPr/>
            </w:pPr>
            <w:r>
              <w:rPr>
                <w:b/>
                <w:bCs/>
              </w:rPr>
              <w:t>Marka</w:t>
            </w:r>
            <w:r>
              <w:rPr/>
              <w:t xml:space="preserve"> …………………………..……………</w:t>
            </w:r>
          </w:p>
        </w:tc>
        <w:tc>
          <w:tcPr>
            <w:tcW w:w="4824" w:type="dxa"/>
            <w:gridSpan w:val="2"/>
            <w:tcBorders>
              <w:top w:val="nil"/>
            </w:tcBorders>
            <w:vAlign w:val="bottom"/>
          </w:tcPr>
          <w:p>
            <w:pPr>
              <w:pStyle w:val="Normal"/>
              <w:jc w:val="left"/>
              <w:rPr/>
            </w:pPr>
            <w:r>
              <w:rPr>
                <w:b/>
                <w:bCs/>
              </w:rPr>
              <w:t>Marka</w:t>
            </w:r>
            <w:r>
              <w:rPr/>
              <w:t xml:space="preserve"> …………………………..……………</w:t>
            </w:r>
          </w:p>
        </w:tc>
      </w:tr>
      <w:tr>
        <w:trPr>
          <w:trHeight w:val="495" w:hRule="atLeast"/>
          <w:cantSplit w:val="true"/>
        </w:trPr>
        <w:tc>
          <w:tcPr>
            <w:tcW w:w="4821" w:type="dxa"/>
            <w:gridSpan w:val="2"/>
            <w:tcBorders>
              <w:top w:val="nil"/>
              <w:right w:val="nil"/>
            </w:tcBorders>
            <w:vAlign w:val="bottom"/>
          </w:tcPr>
          <w:p>
            <w:pPr>
              <w:pStyle w:val="Normal"/>
              <w:jc w:val="left"/>
              <w:rPr/>
            </w:pPr>
            <w:r>
              <w:rPr>
                <w:b/>
                <w:bCs/>
              </w:rPr>
              <w:t>Model</w:t>
            </w:r>
            <w:r>
              <w:rPr/>
              <w:t xml:space="preserve"> …………………………………….………….</w:t>
            </w:r>
          </w:p>
        </w:tc>
        <w:tc>
          <w:tcPr>
            <w:tcW w:w="4824" w:type="dxa"/>
            <w:gridSpan w:val="2"/>
            <w:tcBorders>
              <w:top w:val="nil"/>
            </w:tcBorders>
            <w:vAlign w:val="bottom"/>
          </w:tcPr>
          <w:p>
            <w:pPr>
              <w:pStyle w:val="Normal"/>
              <w:jc w:val="left"/>
              <w:rPr/>
            </w:pPr>
            <w:r>
              <w:rPr>
                <w:b/>
                <w:bCs/>
              </w:rPr>
              <w:t>Model</w:t>
            </w:r>
            <w:r>
              <w:rPr/>
              <w:t xml:space="preserve"> …………………………………….………….</w:t>
            </w:r>
          </w:p>
        </w:tc>
      </w:tr>
      <w:tr>
        <w:trPr>
          <w:trHeight w:val="495" w:hRule="atLeast"/>
          <w:cantSplit w:val="true"/>
        </w:trPr>
        <w:tc>
          <w:tcPr>
            <w:tcW w:w="4821" w:type="dxa"/>
            <w:gridSpan w:val="2"/>
            <w:tcBorders>
              <w:top w:val="nil"/>
              <w:right w:val="nil"/>
            </w:tcBorders>
            <w:vAlign w:val="bottom"/>
          </w:tcPr>
          <w:p>
            <w:pPr>
              <w:pStyle w:val="Normal"/>
              <w:spacing w:lineRule="auto" w:line="288" w:before="0" w:after="4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Rok produkcji </w:t>
            </w:r>
            <w:r>
              <w:rPr>
                <w:rFonts w:cs="Arial"/>
                <w:sz w:val="20"/>
                <w:szCs w:val="20"/>
              </w:rPr>
              <w:t>……………………..…………..</w:t>
            </w:r>
          </w:p>
        </w:tc>
        <w:tc>
          <w:tcPr>
            <w:tcW w:w="4824" w:type="dxa"/>
            <w:gridSpan w:val="2"/>
            <w:tcBorders>
              <w:top w:val="nil"/>
            </w:tcBorders>
            <w:vAlign w:val="bottom"/>
          </w:tcPr>
          <w:p>
            <w:pPr>
              <w:pStyle w:val="Normal"/>
              <w:spacing w:lineRule="auto" w:line="288" w:before="0" w:after="4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Rok produkcji </w:t>
            </w:r>
            <w:r>
              <w:rPr>
                <w:rFonts w:cs="Arial"/>
                <w:sz w:val="20"/>
                <w:szCs w:val="20"/>
              </w:rPr>
              <w:t>……………………..…………..</w:t>
            </w:r>
          </w:p>
        </w:tc>
      </w:tr>
      <w:tr>
        <w:trPr>
          <w:trHeight w:val="1280" w:hRule="atLeast"/>
          <w:cantSplit w:val="true"/>
        </w:trPr>
        <w:tc>
          <w:tcPr>
            <w:tcW w:w="662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SPECYFIKACJA TECHNICZNA OFEROWANEGO CIĄGNIKA Z OSPRZĘTEM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Wymagania Zamawiającego (Parametr minimalny/maksymalny lub wymagany)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30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 xml:space="preserve">PARAMETR OFEROWANY PRZEZ WYKONAWCĘ </w:t>
              <w:br/>
            </w:r>
            <w:r>
              <w:rPr>
                <w:rStyle w:val="Emphasis"/>
                <w:rFonts w:eastAsia="Times New Roman" w:cs="Arial"/>
                <w:b/>
                <w:bCs/>
                <w:strike w:val="false"/>
                <w:dstrike w:val="false"/>
                <w:kern w:val="0"/>
                <w:sz w:val="20"/>
                <w:szCs w:val="20"/>
                <w:u w:val="none"/>
                <w:effect w:val="none"/>
                <w:lang w:val="pl-PL" w:bidi="ar-SA"/>
              </w:rPr>
              <w:t>(Wpisz „TAK” lub „NIE” dla cech wyposażenia LUB podaj konkretną wartość dla parametrów mierzalnych w wyznaczonych miejscach, uzupełnij miejsca wymagające opisu)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Cambria"/>
                <w:b/>
                <w:bCs/>
                <w:color w:val="0000FF"/>
                <w:spacing w:val="4"/>
                <w:kern w:val="0"/>
                <w:sz w:val="20"/>
                <w:szCs w:val="20"/>
                <w:u w:val="none"/>
                <w:shd w:fill="auto" w:val="clear"/>
                <w:lang w:val="pl-PL" w:bidi="ar-SA"/>
              </w:rPr>
              <w:t>[* Niepotrzebne skreślić]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I</w:t>
            </w:r>
          </w:p>
        </w:tc>
        <w:tc>
          <w:tcPr>
            <w:tcW w:w="6083" w:type="dxa"/>
            <w:gridSpan w:val="2"/>
            <w:tcBorders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Dane ogólne</w:t>
            </w:r>
          </w:p>
        </w:tc>
        <w:tc>
          <w:tcPr>
            <w:tcW w:w="3016" w:type="dxa"/>
            <w:tcBorders/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Ciągnik rolniczy fabrycznie nowy, rok produkcji 2025 lub 2026,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spełniający polskie i europejskie wymogi w zakresie bezpieczeństwa oraz wymagania poruszania się po drogach publicznych zgodnie z przepisami ustawy z dnia 20 czerwca 1997 r. – Prawo o ruchu drogowym.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Ciągnik posiada wszystkie dokumenty niezbędne do dopełnienia formalności związanych z dopuszczeniem do ruchu na drogach publicznych oraz instrukcję w języku polskim.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Wykonawca razem z dostawą ciągnika dostarczy Zamawiającemu wszystkie instrukcje obsługi oraz wszelkie inne wymagane dokumenty do rejestracji pojazdu na terenie Rzeczypospolitej Polskiej, w szczególności: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kartę gwarancyjną,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dokumenty gwarancyjne na zamontowane: sprzęt/urządzenia przekazane Wykonawcy przez producenta, jeśli nie są objęte gwarancją Wykonawcy,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wszystkie dokumenty umożliwiające zarejestrowanie pojazdu, - świadectwo zgodności,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instrukcję obsługi i eksploatacji pojazdu oraz sprzętu i urządzeń, wystawione przez ich producentów,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certyfikaty i atesty,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/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ważną decyzję Urzędu Dozoru Technicznego – o ile dotyczy,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>
                <w:rFonts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- inne, jeśli są wymagane.</w:t>
            </w:r>
          </w:p>
          <w:p>
            <w:pPr>
              <w:pStyle w:val="Default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ind w:right="118"/>
              <w:jc w:val="both"/>
              <w:rPr>
                <w:rFonts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 xml:space="preserve">Ładowacz fabrycznie nowy, rok produkcji 2025 lub 2026 </w:t>
            </w: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kompatybilny z ciągnikiem rolniczym,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</w:t>
            </w:r>
          </w:p>
        </w:tc>
      </w:tr>
      <w:tr>
        <w:trPr>
          <w:cantSplit w:val="true"/>
        </w:trPr>
        <w:tc>
          <w:tcPr>
            <w:tcW w:w="9645" w:type="dxa"/>
            <w:gridSpan w:val="4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2"/>
                <w:szCs w:val="22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2"/>
                <w:szCs w:val="22"/>
                <w:lang w:val="pl-PL" w:bidi="ar-SA"/>
              </w:rPr>
              <w:t>DANE TECHNICZNE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II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Silnik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trHeight w:val="71" w:hRule="atLeast"/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  <w:t>2.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moc znamionowa min. 99 KM,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 KM</w:t>
            </w:r>
          </w:p>
        </w:tc>
      </w:tr>
      <w:tr>
        <w:trPr>
          <w:trHeight w:val="71" w:hRule="atLeast"/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pojemność silnika min. 3800 cm3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 cm3</w:t>
            </w:r>
          </w:p>
        </w:tc>
      </w:tr>
      <w:tr>
        <w:trPr>
          <w:trHeight w:val="71" w:hRule="atLeast"/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silnik spełniający normy emisji spalin minimum STAGE V lub równoważną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trHeight w:val="71" w:hRule="atLeast"/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liczba cylindrów min. 4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 xml:space="preserve"> 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liczba cylindrów: ________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  <w:t xml:space="preserve"> sztuk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III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Wymiary i masa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trHeight w:val="285" w:hRule="atLeast"/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3.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Masa własna- min. 4000 kg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..kg</w:t>
            </w:r>
          </w:p>
        </w:tc>
      </w:tr>
      <w:tr>
        <w:trPr>
          <w:trHeight w:val="220" w:hRule="atLeast"/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4.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Długość maks. 4500 mm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..mm</w:t>
            </w:r>
          </w:p>
        </w:tc>
      </w:tr>
      <w:tr>
        <w:trPr>
          <w:trHeight w:val="220" w:hRule="atLeast"/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5.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Szerokość – nie większa niż 2550 mm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..mm</w:t>
            </w:r>
          </w:p>
        </w:tc>
      </w:tr>
      <w:tr>
        <w:trPr>
          <w:trHeight w:val="220" w:hRule="atLeast"/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6.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Koła przednie minimum 380/70R24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../…………….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7.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Koła tylne minimum 480/70R34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/…………..….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IV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Napęd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trHeight w:val="383" w:hRule="atLeast"/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8.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jc w:val="left"/>
              <w:rPr/>
            </w:pPr>
            <w:r>
              <w:rPr/>
              <w:t>napęd na 4 koła załączany elektrohydraulicznie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jc w:val="left"/>
              <w:rPr/>
            </w:pPr>
            <w:r>
              <w:rPr/>
              <w:t>wybór trybu jazdy przód/ tył bez użycia sprzęgła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V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0" w:after="57"/>
              <w:ind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b/>
                <w:kern w:val="0"/>
                <w:sz w:val="20"/>
                <w:szCs w:val="20"/>
                <w:lang w:val="pl-PL" w:bidi="ar-SA"/>
              </w:rPr>
              <w:t>Układ hamulcowy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9.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hamulce ciągnika hydrostatyczne zgodnie z homologacją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układ pneumatyczny do przyczep - 1 i 2 obwodowy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hamulec postojowy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VI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Default"/>
              <w:widowControl w:val="false"/>
              <w:suppressAutoHyphens w:val="true"/>
              <w:spacing w:lineRule="auto" w:line="240" w:before="0" w:after="57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pl-PL" w:bidi="ar-SA"/>
              </w:rPr>
              <w:t>Układ hydrauliczny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10.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4"/>
              </w:numPr>
              <w:spacing w:lineRule="auto" w:line="240" w:before="0" w:after="57"/>
              <w:ind w:hanging="360"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kern w:val="0"/>
                <w:sz w:val="20"/>
                <w:szCs w:val="20"/>
                <w:lang w:val="pl-PL" w:bidi="ar-SA"/>
              </w:rPr>
              <w:t>Podnośnik sterowany za pomocą EHR elektrohydraulicznie + sterowanie tylnym tuz i wom na błotniku ciągnika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11.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zewnętrzny siłownik wspomagający udźwig tylnego TUZ- min. 2 szt.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 SZT.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12.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Rozdzielacz hydrauliki zewnętrznej min. 3-sekcyjny (3 pary wyjść hydraulicznych) + 2 pary hydrauliki między osiowej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 SEKCYJNY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13.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spacing w:lineRule="auto" w:line="240" w:before="0" w:after="57"/>
              <w:ind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kern w:val="0"/>
                <w:sz w:val="20"/>
                <w:szCs w:val="20"/>
                <w:lang w:val="pl-PL" w:bidi="ar-SA"/>
              </w:rPr>
              <w:t>udźwig tylnego TUZ min. 4 400 kg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 kg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14.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spacing w:lineRule="auto" w:line="240" w:before="0" w:after="57"/>
              <w:ind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kern w:val="0"/>
                <w:sz w:val="20"/>
                <w:szCs w:val="20"/>
                <w:lang w:val="pl-PL" w:bidi="ar-SA"/>
              </w:rPr>
              <w:t>TUZ tylny z końcówkami hakowymi min CAT II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15.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spacing w:lineRule="auto" w:line="240" w:before="0" w:after="57"/>
              <w:ind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kern w:val="0"/>
                <w:sz w:val="20"/>
                <w:szCs w:val="20"/>
                <w:lang w:val="pl-PL" w:bidi="ar-SA"/>
              </w:rPr>
              <w:t>zaczep transportowy szybkiej regulacji i dolna listwa zaczepowa (zaczep rolniczy)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16.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spacing w:lineRule="auto" w:line="240" w:before="0" w:after="57"/>
              <w:ind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kern w:val="0"/>
                <w:sz w:val="20"/>
                <w:szCs w:val="20"/>
                <w:lang w:val="pl-PL" w:bidi="ar-SA"/>
              </w:rPr>
              <w:t>fabryczny joystick do sterowania hydrauliką zewnętrzną międzyosiową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VII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4"/>
              </w:numPr>
              <w:spacing w:lineRule="auto" w:line="240" w:before="0" w:after="57"/>
              <w:ind w:hanging="426"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b/>
                <w:kern w:val="0"/>
                <w:sz w:val="20"/>
                <w:szCs w:val="20"/>
                <w:lang w:val="pl-PL" w:bidi="ar-SA"/>
              </w:rPr>
              <w:t>Skrzynia biegów i wał odbioru mocy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17.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Skrzynia biegów mechaniczna synchronizowana z biegami pełzającymi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Ilość biegów- minimum 30 do przodu i 30 do tyłu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left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Liczba oferowanych biegów: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left"/>
              <w:rPr/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...………. do przodu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left"/>
              <w:rPr/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……………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...………. do tyłu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zmiana kierunku jazdy –elektrohydraulicznie z półbiegiem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WOM  z hamulcem wielotarczowym, sterowane elektrohydraulicznie załączane, z min. 3 zmianami prędkości i z funkcją Auto WOM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VIII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4"/>
              </w:numPr>
              <w:spacing w:lineRule="auto" w:line="240" w:before="0" w:after="57"/>
              <w:ind w:hanging="426" w:left="0"/>
              <w:contextualSpacing w:val="false"/>
              <w:jc w:val="left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cs="Times New Roman" w:ascii="Calibri Light" w:hAnsi="Calibri Light"/>
                <w:b/>
                <w:kern w:val="0"/>
                <w:sz w:val="20"/>
                <w:szCs w:val="20"/>
                <w:lang w:val="pl-PL" w:bidi="ar-SA"/>
              </w:rPr>
              <w:t>Kabina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18.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Minimum pięciosłupkowa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Fotel pneumatyczny dla kierowcy z pasami bezpieczeństwa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Fotel dla instruktora z pasem bezpieczeństwa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Wentylacja, klimatyzacja i ogrzewanie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Podgrzewanie tylnej szyby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IX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Wyposażenie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19.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Przedni TUZ sterowany fabrycznym joystickiem z hydrauliki międzyosiowej o udźwigu minimum 2200 kg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Gaśnica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Błotniki kół przednich i tylnych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Trójkąt ostrzegawczy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Apteczka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Oświetlenie robocze na dachu kabiny min, dwa reflektory przednie i dwa reflektory tylne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Urządzenie sygnalizacyjne (kogut) na dachu kabiny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Wycieraczka szyby przedniej i tylnej ze spryskiwaczem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l-PL" w:bidi="ar-SA"/>
              </w:rPr>
              <w:t>Wymagania gwarancyjne i serwisowe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cantSplit w:val="true"/>
        </w:trPr>
        <w:tc>
          <w:tcPr>
            <w:tcW w:w="546" w:type="dxa"/>
            <w:vMerge w:val="restart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20.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 xml:space="preserve">Oferowany przez wykonawcę ciągnik rolniczy spełnia wymagania techniczne, jakościowe i użytkowe określone w szczegółowym opisie zamówienia. Ciągnik powinien być wyposażony we wszystkie wymagane dokumenty niezbędne do zarejestrowania go </w:t>
              <w:br/>
              <w:t>i dopuszczenia do ruchu po drogach publicznych, a także posiadać instrukcję obsługi w języku polskim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Wykonawca udziela Zamawiającemu gwarancji producenta na okres wskazany w formularzu oferty z limitem mth min. 5000 w czasie trwania gwarancji, liczony od dnia podpisania przez przedstawicieli stron protokołu odbioru ciągnika.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Koszty przeglądów gwarancyjnych pokrywa wykonawca.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Koszty transportu do Zamawiającego ponosi Wykonawca (miejsca odbioru sprzętu)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 xml:space="preserve">Wykonawca ponosi wszelkie koszty obowiązkowych przeglądów gwarancyjnych, obejmujące materiały eksploatacyjne, robociznę oraz dojazd serwisu. 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/>
              <w:t>Podjęcie naprawy w okresie gwarancji nastąpi w czasie 48 godzin licząc od momentu zgłoszenia, nie wliczając dni ustawowo wolnych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  <w:tr>
        <w:trPr>
          <w:cantSplit w:val="true"/>
        </w:trPr>
        <w:tc>
          <w:tcPr>
            <w:tcW w:w="546" w:type="dxa"/>
            <w:vMerge w:val="continue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spacing w:before="0" w:after="0"/>
              <w:ind w:hanging="0" w:left="0" w:right="0"/>
              <w:jc w:val="left"/>
              <w:rPr/>
            </w:pPr>
            <w:r>
              <w:rPr/>
              <w:t xml:space="preserve">Wykonawca posiada autoryzowany punkt serwisowy w odległości do 50 km od siedziby Zamawiającego </w:t>
            </w:r>
            <w:r>
              <w:rPr>
                <w:rStyle w:val="Strong"/>
                <w:b w:val="false"/>
                <w:bCs w:val="false"/>
                <w:strike w:val="false"/>
                <w:dstrike w:val="false"/>
                <w:sz w:val="18"/>
                <w:szCs w:val="18"/>
                <w:u w:val="none"/>
                <w:effect w:val="none"/>
              </w:rPr>
              <w:t>LUB</w:t>
            </w:r>
            <w:r>
              <w:rPr/>
              <w:t xml:space="preserve"> zapewni serwis mobilny, którego czas dojazdu do siedziby Zamawiającego w celu usunięcia awarii nie przekroczy 3 godzin od momentu jej zgłoszenia.</w:t>
            </w:r>
          </w:p>
          <w:p>
            <w:pPr>
              <w:pStyle w:val="Normal"/>
              <w:spacing w:before="0" w:after="0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TAK/NIE*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i w:val="false"/>
                <w:iCs w:val="false"/>
              </w:rPr>
              <w:t>1.</w:t>
            </w:r>
            <w:r>
              <w:rPr>
                <w:rFonts w:cs="Arial"/>
                <w:b/>
                <w:bCs/>
                <w:i w:val="false"/>
                <w:iCs w:val="false"/>
                <w:sz w:val="20"/>
                <w:szCs w:val="20"/>
              </w:rPr>
              <w:t xml:space="preserve"> Oferowana forma serwisu</w:t>
            </w:r>
            <w:r>
              <w:rPr>
                <w:rFonts w:cs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 </w:t>
            </w:r>
            <w:r>
              <w:rPr>
                <w:rStyle w:val="Emphasis"/>
                <w:rFonts w:cs="Arial"/>
                <w:b w:val="false"/>
                <w:bCs w:val="false"/>
                <w:i w:val="false"/>
                <w:iCs w:val="false"/>
                <w:strike w:val="false"/>
                <w:dstrike w:val="false"/>
                <w:sz w:val="20"/>
                <w:szCs w:val="20"/>
                <w:u w:val="none"/>
                <w:effect w:val="none"/>
              </w:rPr>
              <w:t>(zaznacz właściwe „X”)</w:t>
            </w:r>
            <w:r>
              <w:rPr>
                <w:rFonts w:cs="Arial"/>
                <w:b w:val="false"/>
                <w:bCs w:val="false"/>
                <w:i w:val="false"/>
                <w:iCs w:val="false"/>
                <w:sz w:val="20"/>
                <w:szCs w:val="20"/>
              </w:rPr>
              <w:t>:</w:t>
              <w:br/>
            </w:r>
            <w:r>
              <w:rPr>
                <w:rFonts w:cs="Arial"/>
                <w:b/>
                <w:bCs/>
                <w:i w:val="false"/>
                <w:iCs w:val="false"/>
                <w:sz w:val="20"/>
                <w:szCs w:val="20"/>
              </w:rPr>
              <w:t>[ ] Stacjonarny do 50 km</w:t>
            </w:r>
            <w:r>
              <w:rPr>
                <w:rFonts w:cs="Arial"/>
                <w:b w:val="false"/>
                <w:bCs w:val="false"/>
                <w:i w:val="false"/>
                <w:iCs w:val="false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i w:val="false"/>
                <w:iCs w:val="false"/>
                <w:sz w:val="20"/>
                <w:szCs w:val="20"/>
              </w:rPr>
              <w:t>[ ] Mobilny z dojazdem do 3 godz.</w:t>
            </w:r>
            <w:r>
              <w:rPr>
                <w:rFonts w:cs="Arial"/>
                <w:b w:val="false"/>
                <w:bCs w:val="false"/>
                <w:i w:val="false"/>
                <w:iCs w:val="false"/>
                <w:sz w:val="20"/>
                <w:szCs w:val="20"/>
              </w:rPr>
              <w:br/>
              <w:br/>
              <w:t>2. Adres punktu stacjonarnego lub bazy serwisu mobilnego:</w:t>
              <w:br/>
              <w:t>..........................................................</w:t>
              <w:br/>
              <w:br/>
              <w:t>3. Gwarantowany czas dojazdu serwisu mobilnego do siedziby Zamawiającego:</w:t>
              <w:br/>
              <w:t xml:space="preserve">........................... godz. </w:t>
            </w:r>
            <w:r>
              <w:rPr>
                <w:rStyle w:val="Emphasis"/>
                <w:rFonts w:cs="Arial"/>
                <w:b w:val="false"/>
                <w:bCs w:val="false"/>
                <w:i w:val="false"/>
                <w:iCs w:val="false"/>
                <w:strike w:val="false"/>
                <w:dstrike w:val="false"/>
                <w:sz w:val="20"/>
                <w:szCs w:val="20"/>
                <w:u w:val="none"/>
                <w:effect w:val="none"/>
              </w:rPr>
              <w:t>(maksymalnie 3 godziny)</w:t>
            </w:r>
          </w:p>
        </w:tc>
      </w:tr>
      <w:tr>
        <w:trPr>
          <w:cantSplit w:val="true"/>
        </w:trPr>
        <w:tc>
          <w:tcPr>
            <w:tcW w:w="546" w:type="dxa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XI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WYPOSAŻENIE</w:t>
            </w:r>
          </w:p>
        </w:tc>
        <w:tc>
          <w:tcPr>
            <w:tcW w:w="3016" w:type="dxa"/>
            <w:tcBorders>
              <w:top w:val="nil"/>
            </w:tcBorders>
            <w:shd w:fill="E2E2E2" w:val="clear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Arial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46" w:type="dxa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eastAsia="Times New Roman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21.</w:t>
            </w:r>
          </w:p>
        </w:tc>
        <w:tc>
          <w:tcPr>
            <w:tcW w:w="6083" w:type="dxa"/>
            <w:gridSpan w:val="2"/>
            <w:tcBorders>
              <w:top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Default"/>
              <w:widowControl w:val="false"/>
              <w:suppressAutoHyphens w:val="true"/>
              <w:spacing w:lineRule="auto" w:line="240" w:before="0" w:after="57"/>
              <w:jc w:val="both"/>
              <w:rPr>
                <w:rFonts w:ascii="Calibri Light" w:hAnsi="Calibri Light" w:cs="Times New Roman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Ładowacz czołowy o udźwigu minimum 1600 kg wyposażony w amortyzator ramienia, szuflę o szerokości min. 2,2 m, widły do palet, sterowanie z poziomu fabrycznego joysticka.</w:t>
            </w:r>
          </w:p>
        </w:tc>
        <w:tc>
          <w:tcPr>
            <w:tcW w:w="3016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57"/>
              <w:jc w:val="center"/>
              <w:rPr>
                <w:rFonts w:ascii="Calibri Light" w:hAnsi="Calibri Light" w:eastAsia="Times New Roman" w:cs="Times New Roman"/>
                <w:b/>
                <w:bCs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pl-PL" w:bidi="ar-SA"/>
              </w:rPr>
              <w:t>TAK/NIE*</w:t>
            </w:r>
          </w:p>
        </w:tc>
      </w:tr>
    </w:tbl>
    <w:p>
      <w:pPr>
        <w:pStyle w:val="Normal"/>
        <w:spacing w:lineRule="auto" w:line="288" w:before="0" w:after="40"/>
        <w:jc w:val="both"/>
        <w:rPr>
          <w:rFonts w:ascii="Calibri Light" w:hAnsi="Calibri Light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spacing w:lineRule="auto" w:line="288" w:before="0" w:after="40"/>
        <w:jc w:val="both"/>
        <w:rPr>
          <w:rFonts w:ascii="Calibri Light" w:hAnsi="Calibri Light" w:cs="Arial"/>
          <w:b/>
          <w:bCs/>
          <w:sz w:val="22"/>
          <w:szCs w:val="22"/>
          <w:highlight w:val="none"/>
          <w:shd w:fill="00FFFF" w:val="clear"/>
        </w:rPr>
      </w:pPr>
      <w:r>
        <w:rPr>
          <w:rFonts w:cs="Arial"/>
          <w:b/>
          <w:bCs/>
          <w:sz w:val="22"/>
          <w:szCs w:val="22"/>
          <w:shd w:fill="00FFFF" w:val="clear"/>
        </w:rPr>
      </w:r>
    </w:p>
    <w:p>
      <w:pPr>
        <w:pStyle w:val="Normal"/>
        <w:spacing w:lineRule="auto" w:line="288" w:before="0" w:after="40"/>
        <w:jc w:val="both"/>
        <w:rPr>
          <w:rFonts w:ascii="Calibri Light" w:hAnsi="Calibri Light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  <w:t>Podpis osoby/osób upoważnionej/ych do występowania w imieniu Wykonawcy.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bCs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bCs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1565C0"/>
          <w:shd w:fill="auto" w:val="clear"/>
        </w:rPr>
        <w:t>lub podpisem zaufanym lub podpisem osobistym</w:t>
      </w:r>
      <w:r>
        <w:rPr>
          <w:rFonts w:eastAsia="Times New Roman" w:cs="Times New Roman"/>
          <w:i/>
          <w:iCs/>
          <w:color w:val="1565C0"/>
          <w:shd w:fill="auto" w:val="clear"/>
        </w:rPr>
        <w:t>.</w:t>
      </w:r>
      <w:r>
        <w:rPr>
          <w:rFonts w:eastAsia="Times New Roman" w:cs="Times New Roman"/>
          <w:i/>
          <w:iCs/>
          <w:color w:val="0369A3"/>
          <w:sz w:val="22"/>
          <w:szCs w:val="22"/>
          <w:shd w:fill="auto" w:val="clear"/>
        </w:rPr>
        <w:t xml:space="preserve"> </w:t>
      </w:r>
    </w:p>
    <w:p>
      <w:pPr>
        <w:pStyle w:val="Normal"/>
        <w:spacing w:lineRule="auto" w:line="288" w:before="0" w:after="40"/>
        <w:jc w:val="center"/>
        <w:rPr>
          <w:rFonts w:cs="Arial"/>
          <w:b/>
          <w:bCs/>
        </w:rPr>
      </w:pPr>
      <w:r>
        <w:rPr>
          <w:rFonts w:cs="Arial"/>
          <w:b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0" w:top="1134" w:footer="1137" w:bottom="166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</w:t>
    </w:r>
    <w:r>
      <w:rPr/>
      <w:t xml:space="preserve">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4</w:t>
    </w:r>
    <w:r>
      <w:rPr/>
      <w:fldChar w:fldCharType="end"/>
    </w:r>
    <w:bookmarkEnd w:id="0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0"/>
      <w:numFmt w:val="decimal"/>
      <w:lvlText w:val="23.%2."/>
      <w:lvlJc w:val="left"/>
      <w:pPr>
        <w:tabs>
          <w:tab w:val="num" w:pos="7732"/>
        </w:tabs>
        <w:ind w:left="7372" w:hanging="0"/>
      </w:pPr>
      <w:rPr>
        <w:b w:val="false"/>
      </w:rPr>
    </w:lvl>
    <w:lvl w:ilvl="2">
      <w:start w:val="0"/>
      <w:numFmt w:val="decimal"/>
      <w:lvlText w:val="3.2.%3."/>
      <w:lvlJc w:val="left"/>
      <w:pPr>
        <w:tabs>
          <w:tab w:val="num" w:pos="360"/>
        </w:tabs>
        <w:ind w:left="0" w:hanging="0"/>
      </w:pPr>
      <w:rPr/>
    </w:lvl>
    <w:lvl w:ilvl="3">
      <w:start w:val="0"/>
      <w:numFmt w:val="decimal"/>
      <w:lvlText w:val="7.1.3.%4."/>
      <w:lvlJc w:val="left"/>
      <w:pPr>
        <w:tabs>
          <w:tab w:val="num" w:pos="360"/>
        </w:tabs>
        <w:ind w:left="0" w:hanging="0"/>
      </w:pPr>
      <w:rPr/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0"/>
  <w:compat>
    <w:balanceSingleByteDoubleByteWidth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54c7a"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Times New Roman"/>
      <w:color w:val="auto"/>
      <w:kern w:val="0"/>
      <w:sz w:val="20"/>
      <w:szCs w:val="24"/>
      <w:lang w:val="pl-PL" w:eastAsia="ar-SA" w:bidi="ar-SA"/>
    </w:rPr>
  </w:style>
  <w:style w:type="paragraph" w:styleId="Heading1">
    <w:name w:val="heading 1"/>
    <w:basedOn w:val="Normal"/>
    <w:next w:val="Normal"/>
    <w:qFormat/>
    <w:rsid w:val="00754c7a"/>
    <w:pPr>
      <w:keepNext w:val="true"/>
      <w:numPr>
        <w:ilvl w:val="0"/>
        <w:numId w:val="1"/>
      </w:numPr>
      <w:shd w:val="clear" w:color="auto" w:fill="FFFFFF"/>
      <w:spacing w:lineRule="auto" w:line="288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754c7a"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54c7a"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5z0" w:customStyle="1">
    <w:name w:val="WW8Num5z0"/>
    <w:qFormat/>
    <w:rsid w:val="00754c7a"/>
    <w:rPr>
      <w:rFonts w:ascii="Tahoma" w:hAnsi="Tahoma"/>
      <w:sz w:val="19"/>
    </w:rPr>
  </w:style>
  <w:style w:type="character" w:styleId="WW8Num7z0" w:customStyle="1">
    <w:name w:val="WW8Num7z0"/>
    <w:qFormat/>
    <w:rsid w:val="00754c7a"/>
    <w:rPr>
      <w:rFonts w:ascii="Tahoma" w:hAnsi="Tahoma"/>
      <w:sz w:val="19"/>
    </w:rPr>
  </w:style>
  <w:style w:type="character" w:styleId="Domylnaczcionkaakapitu1" w:customStyle="1">
    <w:name w:val="Domyślna czcionka akapitu1"/>
    <w:qFormat/>
    <w:rsid w:val="00754c7a"/>
    <w:rPr/>
  </w:style>
  <w:style w:type="character" w:styleId="Znakiprzypiswdolnych" w:customStyle="1">
    <w:name w:val="Znaki przypisów dolnych"/>
    <w:qFormat/>
    <w:rsid w:val="00754c7a"/>
    <w:rPr>
      <w:vertAlign w:val="superscript"/>
    </w:rPr>
  </w:style>
  <w:style w:type="character" w:styleId="Odwoanieprzypisudolnego1" w:customStyle="1">
    <w:name w:val="Odwołanie przypisu dolnego1"/>
    <w:qFormat/>
    <w:rsid w:val="00754c7a"/>
    <w:rPr>
      <w:vertAlign w:val="superscript"/>
    </w:rPr>
  </w:style>
  <w:style w:type="character" w:styleId="PageNumber">
    <w:name w:val="page number"/>
    <w:basedOn w:val="Domylnaczcionkaakapitu1"/>
    <w:rsid w:val="00754c7a"/>
    <w:rPr/>
  </w:style>
  <w:style w:type="character" w:styleId="Znakiprzypiswdolnychuser" w:customStyle="1">
    <w:name w:val="Znaki przypisów dolnych (user)"/>
    <w:qFormat/>
    <w:rsid w:val="00754c7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semiHidden/>
    <w:qFormat/>
    <w:rsid w:val="00754c7a"/>
    <w:rPr>
      <w:vertAlign w:val="superscript"/>
    </w:rPr>
  </w:style>
  <w:style w:type="character" w:styleId="Znakiprzypiswkocowych" w:customStyle="1">
    <w:name w:val="Znaki przypisów końcowych"/>
    <w:qFormat/>
    <w:rsid w:val="00754c7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NagwekZnak" w:customStyle="1">
    <w:name w:val="Nagłówek Znak"/>
    <w:qFormat/>
    <w:rsid w:val="00005f4f"/>
    <w:rPr>
      <w:sz w:val="24"/>
      <w:szCs w:val="24"/>
      <w:lang w:val="pl-PL" w:eastAsia="ar-SA" w:bidi="ar-SA"/>
    </w:rPr>
  </w:style>
  <w:style w:type="character" w:styleId="oferta" w:customStyle="1">
    <w:name w:val="oferta"/>
    <w:qFormat/>
    <w:rsid w:val="0038564d"/>
    <w:rPr>
      <w:b/>
    </w:rPr>
  </w:style>
  <w:style w:type="character" w:styleId="CommentReference">
    <w:name w:val="annotation reference"/>
    <w:uiPriority w:val="99"/>
    <w:qFormat/>
    <w:rsid w:val="00af3a68"/>
    <w:rPr>
      <w:sz w:val="16"/>
      <w:szCs w:val="16"/>
    </w:rPr>
  </w:style>
  <w:style w:type="character" w:styleId="TekstkomentarzaZnak" w:customStyle="1">
    <w:name w:val="Tekst komentarza Znak"/>
    <w:link w:val="CommentText"/>
    <w:qFormat/>
    <w:rsid w:val="00af3a68"/>
    <w:rPr>
      <w:lang w:eastAsia="ar-SA"/>
    </w:rPr>
  </w:style>
  <w:style w:type="character" w:styleId="TematkomentarzaZnak" w:customStyle="1">
    <w:name w:val="Temat komentarza Znak"/>
    <w:link w:val="annotationsubject"/>
    <w:qFormat/>
    <w:rsid w:val="00af3a68"/>
    <w:rPr>
      <w:b/>
      <w:bCs/>
      <w:lang w:eastAsia="ar-SA"/>
    </w:rPr>
  </w:style>
  <w:style w:type="character" w:styleId="StopkaZnak" w:customStyle="1">
    <w:name w:val="Stopka Znak"/>
    <w:uiPriority w:val="99"/>
    <w:qFormat/>
    <w:rsid w:val="009b4fce"/>
    <w:rPr>
      <w:sz w:val="24"/>
      <w:szCs w:val="24"/>
      <w:lang w:eastAsia="ar-SA"/>
    </w:rPr>
  </w:style>
  <w:style w:type="character" w:styleId="Hyperlink">
    <w:name w:val="Hyperlink"/>
    <w:rsid w:val="00690e19"/>
    <w:rPr>
      <w:color w:val="0000FF"/>
      <w:u w:val="single"/>
    </w:rPr>
  </w:style>
  <w:style w:type="character" w:styleId="TekstprzypisudolnegoZnak" w:customStyle="1">
    <w:name w:val="Tekst przypisu dolnego Znak"/>
    <w:uiPriority w:val="99"/>
    <w:semiHidden/>
    <w:qFormat/>
    <w:rsid w:val="002f311b"/>
    <w:rPr>
      <w:lang w:eastAsia="ar-SA"/>
    </w:rPr>
  </w:style>
  <w:style w:type="character" w:styleId="offer-paramslabel" w:customStyle="1">
    <w:name w:val="offer-params__label"/>
    <w:qFormat/>
    <w:rsid w:val="006f3cd2"/>
    <w:rPr/>
  </w:style>
  <w:style w:type="character" w:styleId="AkapitzlistZnak" w:customStyle="1">
    <w:name w:val="Akapit z listą Znak"/>
    <w:link w:val="ListParagraph"/>
    <w:uiPriority w:val="34"/>
    <w:qFormat/>
    <w:locked/>
    <w:rsid w:val="00d25873"/>
    <w:rPr>
      <w:rFonts w:ascii="Calibri" w:hAnsi="Calibri" w:eastAsia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e04abe"/>
    <w:rPr>
      <w:b/>
      <w:bCs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rsid w:val="00754c7a"/>
    <w:pPr>
      <w:jc w:val="both"/>
    </w:pPr>
    <w:rPr>
      <w:sz w:val="28"/>
    </w:rPr>
  </w:style>
  <w:style w:type="paragraph" w:styleId="List">
    <w:name w:val="List"/>
    <w:basedOn w:val="BodyText"/>
    <w:rsid w:val="00754c7a"/>
    <w:pPr/>
    <w:rPr>
      <w:rFonts w:cs="Tahoma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0"/>
    </w:rPr>
  </w:style>
  <w:style w:type="paragraph" w:styleId="Indeks" w:customStyle="1">
    <w:name w:val="Indeks"/>
    <w:basedOn w:val="Normal"/>
    <w:qFormat/>
    <w:rsid w:val="00754c7a"/>
    <w:pPr>
      <w:suppressLineNumbers/>
    </w:pPr>
    <w:rPr>
      <w:rFonts w:cs="Tahoma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  <w:sz w:val="20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rsid w:val="00754c7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Normal"/>
    <w:next w:val="BodyText"/>
    <w:qFormat/>
    <w:rsid w:val="00754c7a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1" w:customStyle="1">
    <w:name w:val="Podpis1"/>
    <w:basedOn w:val="Normal"/>
    <w:qFormat/>
    <w:rsid w:val="00754c7a"/>
    <w:pPr>
      <w:suppressLineNumbers/>
      <w:spacing w:before="120" w:after="120"/>
    </w:pPr>
    <w:rPr>
      <w:rFonts w:cs="Tahoma"/>
      <w:i/>
      <w:iCs/>
    </w:rPr>
  </w:style>
  <w:style w:type="paragraph" w:styleId="Normalny1" w:customStyle="1">
    <w:name w:val="Normalny1"/>
    <w:basedOn w:val="Normal"/>
    <w:qFormat/>
    <w:rsid w:val="00cb4fcd"/>
    <w:pPr>
      <w:widowControl w:val="false"/>
    </w:pPr>
    <w:rPr>
      <w:rFonts w:eastAsia="Calibri"/>
      <w:lang w:eastAsia="zh-CN"/>
    </w:rPr>
  </w:style>
  <w:style w:type="paragraph" w:styleId="Tekstblokowy1" w:customStyle="1">
    <w:name w:val="Tekst blokowy1"/>
    <w:basedOn w:val="Normal"/>
    <w:qFormat/>
    <w:rsid w:val="00754c7a"/>
    <w:pPr>
      <w:shd w:val="clear" w:color="auto" w:fill="FFFFFF"/>
      <w:spacing w:lineRule="exact" w:line="259" w:before="346" w:after="0"/>
      <w:ind w:hanging="638" w:left="1325" w:right="422"/>
    </w:pPr>
    <w:rPr>
      <w:rFonts w:ascii="Tahoma" w:hAnsi="Tahoma" w:cs="Tahoma"/>
      <w:b/>
      <w:bCs/>
      <w:sz w:val="22"/>
      <w:szCs w:val="22"/>
    </w:rPr>
  </w:style>
  <w:style w:type="paragraph" w:styleId="BodyTextIndent">
    <w:name w:val="Body Text Indent"/>
    <w:basedOn w:val="Normal"/>
    <w:rsid w:val="00754c7a"/>
    <w:pPr>
      <w:ind w:left="708"/>
      <w:jc w:val="both"/>
    </w:pPr>
    <w:rPr>
      <w:sz w:val="28"/>
    </w:rPr>
  </w:style>
  <w:style w:type="paragraph" w:styleId="FootnoteText">
    <w:name w:val="footnote text"/>
    <w:basedOn w:val="Normal"/>
    <w:link w:val="TekstprzypisudolnegoZnak"/>
    <w:uiPriority w:val="99"/>
    <w:rsid w:val="00754c7a"/>
    <w:pPr>
      <w:suppressLineNumbers/>
      <w:ind w:hanging="283" w:left="283"/>
    </w:pPr>
    <w:rPr>
      <w:sz w:val="20"/>
      <w:szCs w:val="20"/>
    </w:rPr>
  </w:style>
  <w:style w:type="paragraph" w:styleId="1BodyText" w:customStyle="1">
    <w:name w:val="1Body_Text"/>
    <w:qFormat/>
    <w:rsid w:val="00754c7a"/>
    <w:pPr>
      <w:widowControl/>
      <w:suppressAutoHyphens w:val="true"/>
      <w:bidi w:val="0"/>
      <w:spacing w:before="160" w:after="0"/>
      <w:ind w:left="1701"/>
      <w:jc w:val="both"/>
    </w:pPr>
    <w:rPr>
      <w:rFonts w:ascii="Calibri Light" w:hAnsi="Calibri Light" w:eastAsia="Times New Roman" w:cs="Times New Roman"/>
      <w:color w:val="auto"/>
      <w:kern w:val="0"/>
      <w:sz w:val="22"/>
      <w:szCs w:val="22"/>
      <w:lang w:val="pl-PL" w:eastAsia="ar-SA" w:bidi="ar-SA"/>
    </w:rPr>
  </w:style>
  <w:style w:type="paragraph" w:styleId="1NumList1" w:customStyle="1">
    <w:name w:val="1Num_List1"/>
    <w:basedOn w:val="1BodyText"/>
    <w:qFormat/>
    <w:rsid w:val="00754c7a"/>
    <w:pPr>
      <w:numPr>
        <w:ilvl w:val="0"/>
        <w:numId w:val="2"/>
      </w:numPr>
      <w:ind w:left="1701"/>
    </w:pPr>
    <w:rPr/>
  </w:style>
  <w:style w:type="paragraph" w:styleId="1bodytext1" w:customStyle="1">
    <w:name w:val="1body_text1"/>
    <w:qFormat/>
    <w:rsid w:val="00754c7a"/>
    <w:pPr>
      <w:widowControl/>
      <w:suppressAutoHyphens w:val="true"/>
      <w:bidi w:val="0"/>
      <w:spacing w:before="160" w:after="0"/>
      <w:ind w:left="1701"/>
      <w:jc w:val="left"/>
    </w:pPr>
    <w:rPr>
      <w:rFonts w:ascii="Calibri Light" w:hAnsi="Calibri Light" w:eastAsia="Times New Roman" w:cs="Times New Roman"/>
      <w:color w:val="auto"/>
      <w:kern w:val="0"/>
      <w:sz w:val="22"/>
      <w:szCs w:val="22"/>
      <w:lang w:val="pl-PL" w:eastAsia="ar-SA" w:bidi="ar-SA"/>
    </w:rPr>
  </w:style>
  <w:style w:type="paragraph" w:styleId="Tytu1" w:customStyle="1">
    <w:name w:val="Tytuł1"/>
    <w:basedOn w:val="Normalny1"/>
    <w:qFormat/>
    <w:rsid w:val="00754c7a"/>
    <w:pPr>
      <w:widowControl/>
      <w:jc w:val="center"/>
    </w:pPr>
    <w:rPr>
      <w:rFonts w:eastAsia="Times New Roman"/>
      <w:b/>
      <w:bCs/>
      <w:sz w:val="28"/>
      <w:szCs w:val="28"/>
      <w:u w:val="single"/>
    </w:rPr>
  </w:style>
  <w:style w:type="paragraph" w:styleId="Tekstpodstawowy1" w:customStyle="1">
    <w:name w:val="Tekst podstawowy1"/>
    <w:basedOn w:val="Normalny1"/>
    <w:qFormat/>
    <w:rsid w:val="00754c7a"/>
    <w:pPr>
      <w:widowControl/>
      <w:jc w:val="both"/>
    </w:pPr>
    <w:rPr>
      <w:rFonts w:eastAsia="Times New Roman"/>
    </w:rPr>
  </w:style>
  <w:style w:type="paragraph" w:styleId="Footer">
    <w:name w:val="footer"/>
    <w:basedOn w:val="Normal"/>
    <w:link w:val="StopkaZnak"/>
    <w:uiPriority w:val="99"/>
    <w:rsid w:val="00754c7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rsid w:val="00754c7a"/>
    <w:pPr/>
    <w:rPr>
      <w:rFonts w:ascii="Tahoma" w:hAnsi="Tahoma" w:cs="Tahoma"/>
      <w:sz w:val="16"/>
      <w:szCs w:val="16"/>
    </w:rPr>
  </w:style>
  <w:style w:type="paragraph" w:styleId="Styl1" w:customStyle="1">
    <w:name w:val="Styl1"/>
    <w:basedOn w:val="Heading1"/>
    <w:qFormat/>
    <w:rsid w:val="00754c7a"/>
    <w:pPr>
      <w:widowControl w:val="false"/>
      <w:numPr>
        <w:ilvl w:val="0"/>
        <w:numId w:val="0"/>
      </w:numPr>
      <w:shd w:val="clear" w:color="auto" w:fill="auto"/>
      <w:spacing w:lineRule="auto" w:line="240"/>
      <w:ind w:left="1899" w:right="0"/>
      <w:jc w:val="left"/>
      <w:outlineLvl w:val="9"/>
    </w:pPr>
    <w:rPr>
      <w:rFonts w:ascii="Times New Roman" w:hAnsi="Times New Roman" w:eastAsia="Lucida Sans Unicode"/>
      <w:bCs w:val="false"/>
      <w:color w:val="000000"/>
      <w:sz w:val="24"/>
      <w:szCs w:val="24"/>
      <w:lang w:eastAsia="pl-PL" w:bidi="pl-PL"/>
    </w:rPr>
  </w:style>
  <w:style w:type="paragraph" w:styleId="Zawartoramki" w:customStyle="1">
    <w:name w:val="Zawartość ramki"/>
    <w:basedOn w:val="BodyText"/>
    <w:qFormat/>
    <w:rsid w:val="00754c7a"/>
    <w:pPr/>
    <w:rPr/>
  </w:style>
  <w:style w:type="paragraph" w:styleId="NormalWeb">
    <w:name w:val="Normal (Web)"/>
    <w:basedOn w:val="Normal"/>
    <w:uiPriority w:val="99"/>
    <w:qFormat/>
    <w:rsid w:val="005c020d"/>
    <w:pPr>
      <w:suppressAutoHyphens w:val="false"/>
      <w:spacing w:beforeAutospacing="1" w:after="119"/>
    </w:pPr>
    <w:rPr>
      <w:lang w:eastAsia="pl-PL"/>
    </w:rPr>
  </w:style>
  <w:style w:type="paragraph" w:styleId="ZnakZnak1" w:customStyle="1">
    <w:name w:val="Znak Znak1"/>
    <w:basedOn w:val="Normal"/>
    <w:qFormat/>
    <w:rsid w:val="003b2cb8"/>
    <w:pPr>
      <w:suppressAutoHyphens w:val="false"/>
    </w:pPr>
    <w:rPr>
      <w:rFonts w:ascii="Arial" w:hAnsi="Arial" w:cs="Arial"/>
      <w:lang w:eastAsia="pl-PL"/>
    </w:rPr>
  </w:style>
  <w:style w:type="paragraph" w:styleId="Nagwek11" w:customStyle="1">
    <w:name w:val="Nagłówek 11"/>
    <w:basedOn w:val="Normal"/>
    <w:next w:val="Normal"/>
    <w:qFormat/>
    <w:rsid w:val="00bc2a70"/>
    <w:pPr>
      <w:widowControl w:val="false"/>
    </w:pPr>
    <w:rPr>
      <w:rFonts w:eastAsia="Lucida Sans Unicode"/>
      <w:color w:val="000000"/>
      <w:lang w:eastAsia="pl-PL"/>
    </w:rPr>
  </w:style>
  <w:style w:type="paragraph" w:styleId="CommentText">
    <w:name w:val="annotation text"/>
    <w:basedOn w:val="Normal"/>
    <w:link w:val="TekstkomentarzaZnak"/>
    <w:rsid w:val="00af3a68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af3a68"/>
    <w:pPr/>
    <w:rPr>
      <w:b/>
      <w:bCs/>
    </w:rPr>
  </w:style>
  <w:style w:type="paragraph" w:styleId="PRZETARG1" w:customStyle="1">
    <w:name w:val="PRZETARG 1"/>
    <w:qFormat/>
    <w:rsid w:val="003428d3"/>
    <w:pPr>
      <w:widowControl/>
      <w:numPr>
        <w:ilvl w:val="0"/>
        <w:numId w:val="3"/>
      </w:numPr>
      <w:suppressAutoHyphens w:val="true"/>
      <w:bidi w:val="0"/>
      <w:spacing w:lineRule="auto" w:line="360" w:before="0" w:after="120"/>
      <w:jc w:val="left"/>
    </w:pPr>
    <w:rPr>
      <w:rFonts w:ascii="Tahoma" w:hAnsi="Tahoma" w:eastAsia="Times New Roman" w:cs="Tahoma"/>
      <w:b/>
      <w:bCs/>
      <w:iCs/>
      <w:color w:val="000000"/>
      <w:kern w:val="0"/>
      <w:sz w:val="19"/>
      <w:szCs w:val="19"/>
      <w:lang w:val="pl-PL" w:eastAsia="pl-PL" w:bidi="ar-SA"/>
    </w:rPr>
  </w:style>
  <w:style w:type="paragraph" w:styleId="PRZETARG2" w:customStyle="1">
    <w:name w:val="PRZETARG 2"/>
    <w:qFormat/>
    <w:rsid w:val="003428d3"/>
    <w:pPr>
      <w:widowControl/>
      <w:numPr>
        <w:ilvl w:val="1"/>
        <w:numId w:val="3"/>
      </w:numPr>
      <w:suppressAutoHyphens w:val="true"/>
      <w:bidi w:val="0"/>
      <w:spacing w:lineRule="auto" w:line="360" w:before="0" w:after="0"/>
      <w:jc w:val="both"/>
    </w:pPr>
    <w:rPr>
      <w:rFonts w:ascii="Tahoma" w:hAnsi="Tahoma" w:eastAsia="Times New Roman" w:cs="Tahoma"/>
      <w:bCs/>
      <w:iCs/>
      <w:color w:val="000000"/>
      <w:kern w:val="0"/>
      <w:sz w:val="19"/>
      <w:szCs w:val="19"/>
      <w:lang w:val="pl-PL" w:eastAsia="pl-PL" w:bidi="ar-SA"/>
    </w:rPr>
  </w:style>
  <w:style w:type="paragraph" w:styleId="PRZETARG4" w:customStyle="1">
    <w:name w:val="PRZETARG4"/>
    <w:basedOn w:val="Normal"/>
    <w:qFormat/>
    <w:rsid w:val="003428d3"/>
    <w:pPr>
      <w:numPr>
        <w:ilvl w:val="3"/>
        <w:numId w:val="3"/>
      </w:numPr>
      <w:suppressAutoHyphens w:val="false"/>
      <w:spacing w:lineRule="auto" w:line="312" w:before="0" w:after="60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styleId="PRZETARG5" w:customStyle="1">
    <w:name w:val="PRZETARG5"/>
    <w:basedOn w:val="PRZETARG4"/>
    <w:qFormat/>
    <w:rsid w:val="003428d3"/>
    <w:pPr/>
    <w:rPr/>
  </w:style>
  <w:style w:type="paragraph" w:styleId="ListParagraph">
    <w:name w:val="List Paragraph"/>
    <w:basedOn w:val="Normal"/>
    <w:link w:val="AkapitzlistZnak"/>
    <w:uiPriority w:val="34"/>
    <w:qFormat/>
    <w:rsid w:val="00f738a4"/>
    <w:pPr>
      <w:suppressAutoHyphens w:val="false"/>
      <w:spacing w:lineRule="auto" w:line="259" w:before="0" w:after="16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Zawartotabeli" w:customStyle="1">
    <w:name w:val="Zawartość tabeli"/>
    <w:basedOn w:val="Normal"/>
    <w:qFormat/>
    <w:rsid w:val="00f738a4"/>
    <w:pPr>
      <w:suppressLineNumbers/>
      <w:spacing w:lineRule="auto" w:line="257" w:before="0" w:after="160"/>
    </w:pPr>
    <w:rPr>
      <w:rFonts w:ascii="Calibri" w:hAnsi="Calibri" w:eastAsia="SimSun" w:cs="font243"/>
      <w:kern w:val="2"/>
      <w:sz w:val="22"/>
      <w:szCs w:val="22"/>
      <w:lang w:eastAsia="en-US"/>
    </w:rPr>
  </w:style>
  <w:style w:type="paragraph" w:styleId="Znak" w:customStyle="1">
    <w:name w:val="Znak"/>
    <w:basedOn w:val="Normal"/>
    <w:qFormat/>
    <w:rsid w:val="002b1437"/>
    <w:pPr>
      <w:suppressAutoHyphens w:val="false"/>
    </w:pPr>
    <w:rPr>
      <w:lang w:eastAsia="pl-PL"/>
    </w:rPr>
  </w:style>
  <w:style w:type="paragraph" w:styleId="rozdzia" w:customStyle="1">
    <w:name w:val="rozdział"/>
    <w:basedOn w:val="Normal"/>
    <w:qFormat/>
    <w:rsid w:val="00dc7e3c"/>
    <w:pPr>
      <w:tabs>
        <w:tab w:val="clear" w:pos="708"/>
        <w:tab w:val="left" w:pos="0" w:leader="none"/>
      </w:tabs>
      <w:spacing w:lineRule="auto" w:line="252" w:before="0" w:after="160"/>
    </w:pPr>
    <w:rPr>
      <w:rFonts w:ascii="Cambria" w:hAnsi="Cambria" w:eastAsia="Calibri" w:cs="Tahoma"/>
      <w:b/>
      <w:color w:val="FF0000"/>
      <w:spacing w:val="8"/>
      <w:sz w:val="16"/>
      <w:szCs w:val="20"/>
      <w:u w:val="single"/>
      <w:lang w:eastAsia="zh-CN"/>
    </w:rPr>
  </w:style>
  <w:style w:type="paragraph" w:styleId="NoSpacing">
    <w:name w:val="No Spacing"/>
    <w:uiPriority w:val="1"/>
    <w:qFormat/>
    <w:rsid w:val="006f3c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d909d7"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Calibri" w:cs="Times New Roman" w:eastAsiaTheme="minorHAnsi"/>
      <w:color w:val="000000"/>
      <w:kern w:val="0"/>
      <w:sz w:val="24"/>
      <w:szCs w:val="24"/>
      <w:lang w:val="pl-PL" w:eastAsia="en-US" w:bidi="ar-SA"/>
    </w:rPr>
  </w:style>
  <w:style w:type="paragraph" w:styleId="Standard" w:customStyle="1">
    <w:name w:val="Standard"/>
    <w:qFormat/>
    <w:rsid w:val="00d909d7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customStyle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c2a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B4C8-9FB7-4DAE-933D-70C7B672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Application>LibreOffice/26.2.2.2$Windows_X86_64 LibreOffice_project/1f77d10d6938fd34972958f64b2bcfa54f8b1ba5</Application>
  <AppVersion>15.0000</AppVersion>
  <Pages>4</Pages>
  <Words>915</Words>
  <Characters>5982</Characters>
  <CharactersWithSpaces>6731</CharactersWithSpaces>
  <Paragraphs>174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2025-11-19T08:33:00Z</dcterms:created>
  <dc:creator>Grzegorz</dc:creator>
  <dc:description/>
  <dc:language>pl-PL</dc:language>
  <cp:lastModifiedBy>Joanna Lewandowska-Świtka</cp:lastModifiedBy>
  <cp:lastPrinted>2021-04-23T10:45:00Z</cp:lastPrinted>
  <dcterms:modified xsi:type="dcterms:W3CDTF">2026-08-30T16:16:23Z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